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E38C" w14:textId="50CF44E8" w:rsidR="00396DF7" w:rsidRDefault="00E30A3D" w:rsidP="00164A7F">
      <w:pPr>
        <w:pStyle w:val="NoSpacing"/>
        <w:jc w:val="center"/>
        <w:rPr>
          <w:b/>
          <w:sz w:val="28"/>
        </w:rPr>
      </w:pPr>
      <w:r w:rsidRPr="0067578F">
        <w:rPr>
          <w:noProof/>
        </w:rPr>
        <w:drawing>
          <wp:anchor distT="0" distB="0" distL="114300" distR="114300" simplePos="0" relativeHeight="251664384" behindDoc="1" locked="0" layoutInCell="1" allowOverlap="1" wp14:anchorId="59289E10" wp14:editId="36103DF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2475" cy="740410"/>
            <wp:effectExtent l="0" t="0" r="9525" b="2540"/>
            <wp:wrapNone/>
            <wp:docPr id="3" name="Picture 3" descr="C:\Users\jbrown\Dropbox\pict-quotes-logo's\logo\stat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rown\Dropbox\pict-quotes-logo's\logo\state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578F">
        <w:rPr>
          <w:noProof/>
        </w:rPr>
        <w:drawing>
          <wp:anchor distT="0" distB="0" distL="114300" distR="114300" simplePos="0" relativeHeight="251663360" behindDoc="1" locked="0" layoutInCell="1" allowOverlap="1" wp14:anchorId="3D51BEB6" wp14:editId="39711316">
            <wp:simplePos x="0" y="0"/>
            <wp:positionH relativeFrom="page">
              <wp:posOffset>5697220</wp:posOffset>
            </wp:positionH>
            <wp:positionV relativeFrom="paragraph">
              <wp:posOffset>0</wp:posOffset>
            </wp:positionV>
            <wp:extent cx="1989455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304" y="21172"/>
                <wp:lineTo x="21304" y="0"/>
                <wp:lineTo x="0" y="0"/>
              </wp:wrapPolygon>
            </wp:wrapTight>
            <wp:docPr id="4" name="Picture 4" descr="C:\Users\jbrown\Dropbox\pict-quotes-logo's\logo\Logos\CIA final logo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rown\Dropbox\pict-quotes-logo's\logo\Logos\CIA final logo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9" b="18558"/>
                    <a:stretch/>
                  </pic:blipFill>
                  <pic:spPr bwMode="auto">
                    <a:xfrm>
                      <a:off x="0" y="0"/>
                      <a:ext cx="19894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D25C" w14:textId="77777777" w:rsidR="00E30A3D" w:rsidRDefault="00E30A3D" w:rsidP="00164A7F">
      <w:pPr>
        <w:pStyle w:val="NoSpacing"/>
        <w:jc w:val="center"/>
        <w:rPr>
          <w:b/>
          <w:sz w:val="28"/>
        </w:rPr>
      </w:pPr>
    </w:p>
    <w:p w14:paraId="6DA3EDC4" w14:textId="77777777" w:rsidR="00E30A3D" w:rsidRDefault="00E30A3D" w:rsidP="00164A7F">
      <w:pPr>
        <w:pStyle w:val="NoSpacing"/>
        <w:jc w:val="center"/>
        <w:rPr>
          <w:b/>
          <w:sz w:val="28"/>
        </w:rPr>
      </w:pPr>
    </w:p>
    <w:p w14:paraId="69458CFC" w14:textId="5268C673" w:rsidR="00E30A3D" w:rsidRPr="00E30A3D" w:rsidRDefault="00E30A3D" w:rsidP="00164A7F">
      <w:pPr>
        <w:pStyle w:val="NoSpacing"/>
        <w:jc w:val="center"/>
        <w:rPr>
          <w:b/>
          <w:sz w:val="32"/>
        </w:rPr>
      </w:pPr>
      <w:r>
        <w:rPr>
          <w:b/>
          <w:sz w:val="28"/>
        </w:rPr>
        <w:t xml:space="preserve">          </w:t>
      </w:r>
      <w:r w:rsidRPr="00E30A3D">
        <w:rPr>
          <w:b/>
          <w:sz w:val="32"/>
        </w:rPr>
        <w:t>Moving Towards Reading on Grade Level by 3</w:t>
      </w:r>
      <w:r w:rsidRPr="00E30A3D">
        <w:rPr>
          <w:b/>
          <w:sz w:val="32"/>
          <w:vertAlign w:val="superscript"/>
        </w:rPr>
        <w:t>rd</w:t>
      </w:r>
      <w:r w:rsidRPr="00E30A3D">
        <w:rPr>
          <w:b/>
          <w:sz w:val="32"/>
        </w:rPr>
        <w:t xml:space="preserve"> Grade</w:t>
      </w:r>
    </w:p>
    <w:p w14:paraId="2196C1A9" w14:textId="601A40F1" w:rsidR="00E30A3D" w:rsidRDefault="00DD75B9" w:rsidP="00164A7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E30A3D">
        <w:rPr>
          <w:b/>
          <w:sz w:val="28"/>
        </w:rPr>
        <w:t xml:space="preserve">Module </w:t>
      </w:r>
      <w:r w:rsidR="00B62CA8">
        <w:rPr>
          <w:b/>
          <w:sz w:val="28"/>
        </w:rPr>
        <w:t>5</w:t>
      </w:r>
      <w:r w:rsidR="00E30A3D">
        <w:rPr>
          <w:b/>
          <w:sz w:val="28"/>
        </w:rPr>
        <w:t>:</w:t>
      </w:r>
      <w:r w:rsidR="00B62CA8">
        <w:rPr>
          <w:b/>
          <w:sz w:val="28"/>
        </w:rPr>
        <w:t xml:space="preserve"> Reading Comprehension</w:t>
      </w:r>
    </w:p>
    <w:p w14:paraId="3AE91BF0" w14:textId="71B0664B" w:rsidR="0062595F" w:rsidRPr="00164A7F" w:rsidRDefault="00E30A3D" w:rsidP="00E30A3D">
      <w:pPr>
        <w:pStyle w:val="NoSpacing"/>
        <w:tabs>
          <w:tab w:val="center" w:pos="5040"/>
          <w:tab w:val="left" w:pos="8265"/>
        </w:tabs>
        <w:rPr>
          <w:b/>
          <w:sz w:val="28"/>
        </w:rPr>
      </w:pPr>
      <w:r>
        <w:rPr>
          <w:b/>
          <w:sz w:val="28"/>
        </w:rPr>
        <w:tab/>
      </w:r>
      <w:r w:rsidR="00246AC0" w:rsidRPr="00164A7F">
        <w:rPr>
          <w:b/>
          <w:sz w:val="28"/>
        </w:rPr>
        <w:t>Facilitator Guide</w:t>
      </w:r>
      <w:r>
        <w:rPr>
          <w:b/>
          <w:sz w:val="28"/>
        </w:rPr>
        <w:tab/>
      </w:r>
    </w:p>
    <w:p w14:paraId="1D2BD140" w14:textId="77777777" w:rsidR="00E30A3D" w:rsidRDefault="00E30A3D" w:rsidP="00164A7F">
      <w:pPr>
        <w:pStyle w:val="NoSpacing"/>
        <w:rPr>
          <w:b/>
        </w:rPr>
      </w:pPr>
    </w:p>
    <w:p w14:paraId="1BE198E9" w14:textId="79D28B02" w:rsidR="001F65D8" w:rsidRPr="00DD75B9" w:rsidRDefault="00EC494E" w:rsidP="00164A7F">
      <w:pPr>
        <w:pStyle w:val="NoSpacing"/>
        <w:rPr>
          <w:b/>
        </w:rPr>
      </w:pPr>
      <w:r w:rsidRPr="00DD75B9">
        <w:rPr>
          <w:b/>
        </w:rPr>
        <w:t>Participant Outcomes</w:t>
      </w:r>
      <w:r w:rsidR="0003581C" w:rsidRPr="00DD75B9">
        <w:rPr>
          <w:b/>
        </w:rPr>
        <w:t>:</w:t>
      </w:r>
    </w:p>
    <w:p w14:paraId="20D2694D" w14:textId="773F3814" w:rsidR="00B62CA8" w:rsidRDefault="00B62CA8" w:rsidP="00B62CA8">
      <w:pPr>
        <w:pStyle w:val="NoSpacing"/>
        <w:numPr>
          <w:ilvl w:val="0"/>
          <w:numId w:val="33"/>
        </w:numPr>
      </w:pPr>
      <w:r w:rsidRPr="00B62CA8">
        <w:t>Identify the 5 recommendations that address the challenge of reading comprehension to students in Kindergarten through 3</w:t>
      </w:r>
      <w:r w:rsidRPr="00B62CA8">
        <w:rPr>
          <w:vertAlign w:val="superscript"/>
        </w:rPr>
        <w:t>rd</w:t>
      </w:r>
      <w:r w:rsidRPr="00B62CA8">
        <w:t xml:space="preserve"> grade.</w:t>
      </w:r>
    </w:p>
    <w:p w14:paraId="4F574B2E" w14:textId="05B1CA7D" w:rsidR="00B62CA8" w:rsidRPr="00B62CA8" w:rsidRDefault="00B62CA8" w:rsidP="00B62CA8">
      <w:pPr>
        <w:pStyle w:val="NoSpacing"/>
        <w:numPr>
          <w:ilvl w:val="0"/>
          <w:numId w:val="33"/>
        </w:numPr>
      </w:pPr>
      <w:r>
        <w:t>Examine the recommended instructional practices that can be used in the classroom.</w:t>
      </w:r>
    </w:p>
    <w:p w14:paraId="431E8571" w14:textId="77777777" w:rsidR="00B62CA8" w:rsidRPr="00B62CA8" w:rsidRDefault="00B62CA8" w:rsidP="00B62CA8">
      <w:pPr>
        <w:pStyle w:val="NoSpacing"/>
        <w:numPr>
          <w:ilvl w:val="0"/>
          <w:numId w:val="33"/>
        </w:numPr>
      </w:pPr>
      <w:r w:rsidRPr="00B62CA8">
        <w:t>Identify the necessary curricular components essential for teaching reading comprehension.</w:t>
      </w:r>
    </w:p>
    <w:p w14:paraId="658990DB" w14:textId="74E1030E" w:rsidR="00632DC7" w:rsidRPr="00D4114E" w:rsidRDefault="00B62CA8" w:rsidP="00B62CA8">
      <w:pPr>
        <w:pStyle w:val="NoSpacing"/>
        <w:numPr>
          <w:ilvl w:val="0"/>
          <w:numId w:val="33"/>
        </w:numPr>
      </w:pPr>
      <w:r w:rsidRPr="00B62CA8">
        <w:t xml:space="preserve">Examine </w:t>
      </w:r>
      <w:r>
        <w:t>comprehension resources.</w:t>
      </w:r>
    </w:p>
    <w:p w14:paraId="7CE0783A" w14:textId="77777777" w:rsidR="00DD75B9" w:rsidRPr="00DD75B9" w:rsidRDefault="00DD75B9" w:rsidP="000E6826">
      <w:pPr>
        <w:pStyle w:val="NoSpacing"/>
        <w:rPr>
          <w:b/>
        </w:rPr>
      </w:pPr>
    </w:p>
    <w:p w14:paraId="7402AA78" w14:textId="3675E507" w:rsidR="000E6826" w:rsidRDefault="000E6826" w:rsidP="000E6826">
      <w:pPr>
        <w:pStyle w:val="NoSpacing"/>
      </w:pPr>
      <w:r w:rsidRPr="00DD75B9">
        <w:rPr>
          <w:b/>
        </w:rPr>
        <w:t>Learning Forward Standards</w:t>
      </w:r>
      <w:r w:rsidR="00DD75B9">
        <w:t xml:space="preserve">: The following Learning Standards </w:t>
      </w:r>
      <w:r w:rsidR="003746BB">
        <w:t xml:space="preserve">are </w:t>
      </w:r>
      <w:r w:rsidR="00DD75B9">
        <w:t>address</w:t>
      </w:r>
      <w:r w:rsidR="003746BB">
        <w:t>ed</w:t>
      </w:r>
      <w:r w:rsidR="00DD75B9">
        <w:t xml:space="preserve"> in this module.  See </w:t>
      </w:r>
      <w:hyperlink r:id="rId10" w:history="1">
        <w:r w:rsidR="00DD75B9" w:rsidRPr="00DD75B9">
          <w:rPr>
            <w:color w:val="0000FF"/>
            <w:u w:val="single"/>
          </w:rPr>
          <w:t>https://learningforward.org/standards-for-professional-learning</w:t>
        </w:r>
      </w:hyperlink>
      <w:r w:rsidR="00DD75B9">
        <w:t xml:space="preserve">  for additional information.</w:t>
      </w:r>
    </w:p>
    <w:p w14:paraId="2F85402E" w14:textId="77777777" w:rsidR="000E6826" w:rsidRDefault="000E6826" w:rsidP="000E6826">
      <w:pPr>
        <w:pStyle w:val="NoSpacing"/>
        <w:numPr>
          <w:ilvl w:val="0"/>
          <w:numId w:val="15"/>
        </w:numPr>
      </w:pPr>
      <w:r>
        <w:t>Implementation: Professional learning that increases educator effectiveness and results for all students applies research on change and sustains support for implementation of professional learning for long-term change.</w:t>
      </w:r>
    </w:p>
    <w:p w14:paraId="22A6E9EA" w14:textId="57863652" w:rsidR="000E6826" w:rsidRDefault="000E6826" w:rsidP="000E6826">
      <w:pPr>
        <w:pStyle w:val="NoSpacing"/>
        <w:numPr>
          <w:ilvl w:val="0"/>
          <w:numId w:val="15"/>
        </w:numPr>
      </w:pPr>
      <w:r>
        <w:t>Resources: Professional learning that increases educator effectiveness and results for all students requires prioritizing, monitoring, and coordinating resources for educator learning.</w:t>
      </w:r>
    </w:p>
    <w:p w14:paraId="181BEF10" w14:textId="31371146" w:rsidR="00DD75B9" w:rsidRDefault="00DD75B9" w:rsidP="00DD75B9">
      <w:pPr>
        <w:pStyle w:val="NoSpacing"/>
        <w:ind w:left="720"/>
        <w:rPr>
          <w:sz w:val="14"/>
        </w:rPr>
      </w:pPr>
    </w:p>
    <w:p w14:paraId="289E6B65" w14:textId="77777777" w:rsidR="00AE6A88" w:rsidRPr="00DD75B9" w:rsidRDefault="00AE6A88" w:rsidP="00DD75B9">
      <w:pPr>
        <w:pStyle w:val="NoSpacing"/>
        <w:ind w:left="720"/>
        <w:rPr>
          <w:sz w:val="14"/>
        </w:rPr>
      </w:pPr>
    </w:p>
    <w:tbl>
      <w:tblPr>
        <w:tblStyle w:val="TableGrid"/>
        <w:tblW w:w="10957" w:type="dxa"/>
        <w:tblInd w:w="-72" w:type="dxa"/>
        <w:tblLook w:val="04A0" w:firstRow="1" w:lastRow="0" w:firstColumn="1" w:lastColumn="0" w:noHBand="0" w:noVBand="1"/>
      </w:tblPr>
      <w:tblGrid>
        <w:gridCol w:w="850"/>
        <w:gridCol w:w="4887"/>
        <w:gridCol w:w="1350"/>
        <w:gridCol w:w="3870"/>
      </w:tblGrid>
      <w:tr w:rsidR="007C6DFA" w:rsidRPr="00892B19" w14:paraId="702E8B1F" w14:textId="56B7791C" w:rsidTr="0062595F">
        <w:tc>
          <w:tcPr>
            <w:tcW w:w="10957" w:type="dxa"/>
            <w:gridSpan w:val="4"/>
            <w:shd w:val="clear" w:color="auto" w:fill="EEECE1" w:themeFill="background2"/>
          </w:tcPr>
          <w:p w14:paraId="57ADFA91" w14:textId="3254E4B0" w:rsidR="007C6DFA" w:rsidRPr="00892B19" w:rsidRDefault="00AE6A88" w:rsidP="00A861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Reading Comprehension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Module </w:t>
            </w:r>
            <w:r w:rsidR="007C6DFA" w:rsidRPr="00AE6A88">
              <w:rPr>
                <w:b/>
                <w:sz w:val="32"/>
                <w:szCs w:val="32"/>
              </w:rPr>
              <w:t>Notes</w:t>
            </w:r>
          </w:p>
        </w:tc>
      </w:tr>
      <w:tr w:rsidR="007C6DFA" w14:paraId="2ED856C8" w14:textId="48726CE2" w:rsidTr="0062595F">
        <w:tc>
          <w:tcPr>
            <w:tcW w:w="10957" w:type="dxa"/>
            <w:gridSpan w:val="4"/>
            <w:shd w:val="clear" w:color="auto" w:fill="FFFFFF" w:themeFill="background1"/>
          </w:tcPr>
          <w:p w14:paraId="0D701D47" w14:textId="1BBD8BEF" w:rsidR="007C6DFA" w:rsidRPr="007C6DFA" w:rsidRDefault="007C6DFA" w:rsidP="007C6DFA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C6DFA">
              <w:rPr>
                <w:b/>
                <w:sz w:val="20"/>
                <w:szCs w:val="20"/>
              </w:rPr>
              <w:t xml:space="preserve">All </w:t>
            </w:r>
            <w:r>
              <w:rPr>
                <w:b/>
                <w:sz w:val="20"/>
                <w:szCs w:val="20"/>
              </w:rPr>
              <w:t>PowerPoint s</w:t>
            </w:r>
            <w:r w:rsidRPr="007C6DFA">
              <w:rPr>
                <w:b/>
                <w:sz w:val="20"/>
                <w:szCs w:val="20"/>
              </w:rPr>
              <w:t>lides have notes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75603">
              <w:rPr>
                <w:b/>
                <w:sz w:val="20"/>
                <w:szCs w:val="20"/>
              </w:rPr>
              <w:t xml:space="preserve">provided to assist the </w:t>
            </w:r>
            <w:r w:rsidRPr="007C6DFA">
              <w:rPr>
                <w:b/>
                <w:sz w:val="20"/>
                <w:szCs w:val="20"/>
              </w:rPr>
              <w:t>facilitator</w:t>
            </w:r>
            <w:r w:rsidR="006B6214">
              <w:rPr>
                <w:b/>
                <w:sz w:val="20"/>
                <w:szCs w:val="20"/>
              </w:rPr>
              <w:t>.</w:t>
            </w:r>
          </w:p>
          <w:p w14:paraId="6BFE4A57" w14:textId="52385562" w:rsidR="00376B57" w:rsidRDefault="00376B57" w:rsidP="00FF79DE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76B57">
              <w:rPr>
                <w:sz w:val="20"/>
                <w:szCs w:val="20"/>
              </w:rPr>
              <w:t>All materials</w:t>
            </w:r>
            <w:r w:rsidR="003746BB">
              <w:rPr>
                <w:sz w:val="20"/>
                <w:szCs w:val="20"/>
              </w:rPr>
              <w:t xml:space="preserve"> provided,</w:t>
            </w:r>
            <w:r w:rsidRPr="00376B57">
              <w:rPr>
                <w:sz w:val="20"/>
                <w:szCs w:val="20"/>
              </w:rPr>
              <w:t xml:space="preserve"> </w:t>
            </w:r>
            <w:r w:rsidR="003746BB">
              <w:rPr>
                <w:sz w:val="20"/>
                <w:szCs w:val="20"/>
              </w:rPr>
              <w:t xml:space="preserve">either </w:t>
            </w:r>
            <w:r w:rsidRPr="00376B57">
              <w:rPr>
                <w:sz w:val="20"/>
                <w:szCs w:val="20"/>
              </w:rPr>
              <w:t xml:space="preserve">printed or digital.  It is at the facilitator’s discretion. </w:t>
            </w:r>
          </w:p>
          <w:p w14:paraId="383F5E64" w14:textId="297E686C" w:rsidR="007C6DFA" w:rsidRPr="00376B57" w:rsidRDefault="007C6DFA" w:rsidP="00FF79DE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76B57">
              <w:rPr>
                <w:sz w:val="20"/>
                <w:szCs w:val="20"/>
              </w:rPr>
              <w:t>HIDE any slides that may not be applicable to grade levels you are presenting to or optional activities you do not want to do</w:t>
            </w:r>
            <w:r w:rsidR="00E54A27">
              <w:rPr>
                <w:sz w:val="20"/>
                <w:szCs w:val="20"/>
              </w:rPr>
              <w:t>.</w:t>
            </w:r>
          </w:p>
          <w:p w14:paraId="7214E8FC" w14:textId="0AFE4DF5" w:rsidR="007C6DFA" w:rsidRPr="007C6DFA" w:rsidRDefault="003746BB" w:rsidP="005B1B2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Gather supplies and connect to the internet. </w:t>
            </w:r>
          </w:p>
          <w:p w14:paraId="273AF067" w14:textId="77777777" w:rsidR="007C6DFA" w:rsidRPr="007C6DFA" w:rsidRDefault="007C6DFA" w:rsidP="005B1B2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C6DFA">
              <w:rPr>
                <w:sz w:val="20"/>
                <w:szCs w:val="20"/>
              </w:rPr>
              <w:t xml:space="preserve">Check all links to verify they are working. </w:t>
            </w:r>
          </w:p>
          <w:p w14:paraId="68C7FCA1" w14:textId="372A9EE3" w:rsidR="00C900C5" w:rsidRPr="003746BB" w:rsidRDefault="007C6DFA" w:rsidP="003746B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C6DFA">
              <w:rPr>
                <w:sz w:val="20"/>
                <w:szCs w:val="20"/>
              </w:rPr>
              <w:t>Determine agenda and workshop length based on time constraints (Half-day, full day, after school, etc.)</w:t>
            </w:r>
          </w:p>
        </w:tc>
      </w:tr>
      <w:tr w:rsidR="007C6DFA" w14:paraId="18E6BA7F" w14:textId="72E09ED3" w:rsidTr="00A3598E">
        <w:tc>
          <w:tcPr>
            <w:tcW w:w="850" w:type="dxa"/>
            <w:shd w:val="clear" w:color="auto" w:fill="EEECE1" w:themeFill="background2"/>
          </w:tcPr>
          <w:p w14:paraId="3C860A6D" w14:textId="6E58D594" w:rsidR="007C6DFA" w:rsidRPr="00F75786" w:rsidRDefault="007C6DFA" w:rsidP="007C6DFA">
            <w:pPr>
              <w:jc w:val="center"/>
            </w:pPr>
            <w:r w:rsidRPr="00892B19">
              <w:rPr>
                <w:b/>
                <w:sz w:val="28"/>
                <w:szCs w:val="28"/>
              </w:rPr>
              <w:t>Slide</w:t>
            </w:r>
          </w:p>
        </w:tc>
        <w:tc>
          <w:tcPr>
            <w:tcW w:w="4887" w:type="dxa"/>
            <w:shd w:val="clear" w:color="auto" w:fill="EEECE1" w:themeFill="background2"/>
          </w:tcPr>
          <w:p w14:paraId="3ABEC272" w14:textId="5340167F" w:rsidR="007C6DFA" w:rsidRPr="007C6DFA" w:rsidRDefault="007C6DFA" w:rsidP="007C6DF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1350" w:type="dxa"/>
            <w:shd w:val="clear" w:color="auto" w:fill="EEECE1" w:themeFill="background2"/>
          </w:tcPr>
          <w:p w14:paraId="48F2E909" w14:textId="77777777" w:rsidR="007C6DFA" w:rsidRDefault="007C6DFA" w:rsidP="007C6DFA">
            <w:pPr>
              <w:jc w:val="center"/>
              <w:rPr>
                <w:b/>
                <w:sz w:val="28"/>
                <w:szCs w:val="28"/>
              </w:rPr>
            </w:pPr>
            <w:r w:rsidRPr="00892B19">
              <w:rPr>
                <w:b/>
                <w:sz w:val="28"/>
                <w:szCs w:val="28"/>
              </w:rPr>
              <w:t>Time</w:t>
            </w:r>
          </w:p>
          <w:p w14:paraId="433665A8" w14:textId="29E2D616" w:rsidR="007C6DFA" w:rsidRDefault="007C6DFA" w:rsidP="007C6DFA">
            <w:pPr>
              <w:jc w:val="center"/>
            </w:pPr>
            <w:r w:rsidRPr="007C6DFA">
              <w:rPr>
                <w:sz w:val="16"/>
              </w:rPr>
              <w:t>All times are estimates.</w:t>
            </w:r>
          </w:p>
        </w:tc>
        <w:tc>
          <w:tcPr>
            <w:tcW w:w="3870" w:type="dxa"/>
            <w:shd w:val="clear" w:color="auto" w:fill="EEECE1" w:themeFill="background2"/>
          </w:tcPr>
          <w:p w14:paraId="2E3A0442" w14:textId="7E3BDF55" w:rsidR="007C6DFA" w:rsidRDefault="007C6DFA" w:rsidP="007C6DFA">
            <w:pPr>
              <w:jc w:val="center"/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7C6DFA" w14:paraId="4DFD69B6" w14:textId="77777777" w:rsidTr="00A3598E">
        <w:tc>
          <w:tcPr>
            <w:tcW w:w="850" w:type="dxa"/>
            <w:shd w:val="clear" w:color="auto" w:fill="FFFFFF" w:themeFill="background1"/>
          </w:tcPr>
          <w:p w14:paraId="1F940A62" w14:textId="38EED054" w:rsidR="007C6DFA" w:rsidRPr="004D4EAB" w:rsidRDefault="004D4EAB" w:rsidP="007C6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C6DFA" w:rsidRPr="004D4EAB">
              <w:rPr>
                <w:sz w:val="20"/>
                <w:szCs w:val="20"/>
              </w:rPr>
              <w:t>1 &amp; 2 are hidden slides)</w:t>
            </w:r>
          </w:p>
        </w:tc>
        <w:tc>
          <w:tcPr>
            <w:tcW w:w="4887" w:type="dxa"/>
          </w:tcPr>
          <w:p w14:paraId="0D5F1890" w14:textId="0BFEB645" w:rsidR="007C6DFA" w:rsidRPr="004D4EAB" w:rsidRDefault="007C6DFA" w:rsidP="007C6DFA">
            <w:pPr>
              <w:pStyle w:val="NoSpacing"/>
              <w:rPr>
                <w:b/>
                <w:sz w:val="20"/>
                <w:szCs w:val="20"/>
              </w:rPr>
            </w:pPr>
            <w:r w:rsidRPr="004D4EAB">
              <w:rPr>
                <w:sz w:val="20"/>
                <w:szCs w:val="20"/>
              </w:rPr>
              <w:t>The hidden slides list the materials that may be needed for the module</w:t>
            </w:r>
            <w:r w:rsidR="00E54A27">
              <w:rPr>
                <w:sz w:val="20"/>
                <w:szCs w:val="20"/>
              </w:rPr>
              <w:t>. I</w:t>
            </w:r>
            <w:r w:rsidRPr="004D4EAB">
              <w:rPr>
                <w:sz w:val="20"/>
                <w:szCs w:val="20"/>
              </w:rPr>
              <w:t>cons found on specific</w:t>
            </w:r>
            <w:r w:rsidR="00E54A27">
              <w:rPr>
                <w:sz w:val="20"/>
                <w:szCs w:val="20"/>
              </w:rPr>
              <w:t xml:space="preserve"> </w:t>
            </w:r>
            <w:r w:rsidRPr="004D4EAB">
              <w:rPr>
                <w:sz w:val="20"/>
                <w:szCs w:val="20"/>
              </w:rPr>
              <w:t>slides indicate when special features in the module</w:t>
            </w:r>
            <w:r w:rsidR="00314AED">
              <w:rPr>
                <w:sz w:val="20"/>
                <w:szCs w:val="20"/>
              </w:rPr>
              <w:t xml:space="preserve"> are present.</w:t>
            </w:r>
          </w:p>
        </w:tc>
        <w:tc>
          <w:tcPr>
            <w:tcW w:w="1350" w:type="dxa"/>
            <w:shd w:val="clear" w:color="auto" w:fill="FFFFFF" w:themeFill="background1"/>
          </w:tcPr>
          <w:p w14:paraId="143E0051" w14:textId="0287CFCB" w:rsidR="007C6DFA" w:rsidRPr="004D4EAB" w:rsidRDefault="00375603" w:rsidP="007C6DFA">
            <w:pPr>
              <w:jc w:val="center"/>
              <w:rPr>
                <w:sz w:val="20"/>
                <w:szCs w:val="20"/>
              </w:rPr>
            </w:pPr>
            <w:r w:rsidRPr="004D4EAB">
              <w:rPr>
                <w:sz w:val="20"/>
                <w:szCs w:val="20"/>
              </w:rPr>
              <w:t>N/A</w:t>
            </w:r>
          </w:p>
        </w:tc>
        <w:tc>
          <w:tcPr>
            <w:tcW w:w="3870" w:type="dxa"/>
            <w:shd w:val="clear" w:color="auto" w:fill="FFFFFF" w:themeFill="background1"/>
          </w:tcPr>
          <w:p w14:paraId="299ED927" w14:textId="77384B16" w:rsidR="007C6DFA" w:rsidRPr="004D4EAB" w:rsidRDefault="00375603" w:rsidP="007C6DFA">
            <w:pPr>
              <w:jc w:val="center"/>
              <w:rPr>
                <w:sz w:val="20"/>
                <w:szCs w:val="20"/>
              </w:rPr>
            </w:pPr>
            <w:r w:rsidRPr="004D4EAB">
              <w:rPr>
                <w:sz w:val="20"/>
                <w:szCs w:val="20"/>
              </w:rPr>
              <w:t>N/A</w:t>
            </w:r>
          </w:p>
        </w:tc>
      </w:tr>
      <w:tr w:rsidR="00375603" w14:paraId="47499056" w14:textId="77777777" w:rsidTr="00A3598E">
        <w:tc>
          <w:tcPr>
            <w:tcW w:w="850" w:type="dxa"/>
            <w:shd w:val="clear" w:color="auto" w:fill="FFFFFF" w:themeFill="background1"/>
          </w:tcPr>
          <w:p w14:paraId="33A433C9" w14:textId="731465FB" w:rsidR="00375603" w:rsidRPr="004D4EAB" w:rsidRDefault="00375603" w:rsidP="007C6DFA">
            <w:pPr>
              <w:jc w:val="center"/>
              <w:rPr>
                <w:sz w:val="20"/>
                <w:szCs w:val="20"/>
              </w:rPr>
            </w:pPr>
            <w:r w:rsidRPr="004D4EAB">
              <w:rPr>
                <w:sz w:val="20"/>
                <w:szCs w:val="20"/>
              </w:rPr>
              <w:t>Slides 3-1</w:t>
            </w:r>
            <w:r w:rsidR="00B50F4D">
              <w:rPr>
                <w:sz w:val="20"/>
                <w:szCs w:val="20"/>
              </w:rPr>
              <w:t>2</w:t>
            </w:r>
          </w:p>
        </w:tc>
        <w:tc>
          <w:tcPr>
            <w:tcW w:w="4887" w:type="dxa"/>
          </w:tcPr>
          <w:p w14:paraId="3D63760B" w14:textId="77AC00B3" w:rsidR="00375603" w:rsidRPr="004D4EAB" w:rsidRDefault="00375603" w:rsidP="007C6DFA">
            <w:pPr>
              <w:pStyle w:val="NoSpacing"/>
              <w:rPr>
                <w:sz w:val="20"/>
                <w:szCs w:val="20"/>
              </w:rPr>
            </w:pPr>
            <w:r w:rsidRPr="004D4EAB">
              <w:rPr>
                <w:sz w:val="20"/>
                <w:szCs w:val="20"/>
              </w:rPr>
              <w:t>These slides are introductory in nature and are used at the beginning of each module.  Slide 11 introduces participants to the foundational skill focus for this module</w:t>
            </w:r>
            <w:r w:rsidR="00314AED">
              <w:rPr>
                <w:sz w:val="20"/>
                <w:szCs w:val="20"/>
              </w:rPr>
              <w:t>.</w:t>
            </w:r>
            <w:r w:rsidR="00B50F4D">
              <w:rPr>
                <w:sz w:val="20"/>
                <w:szCs w:val="20"/>
              </w:rPr>
              <w:t xml:space="preserve"> Slide 12 provides information on the brain and its impact on instruction.</w:t>
            </w:r>
          </w:p>
        </w:tc>
        <w:tc>
          <w:tcPr>
            <w:tcW w:w="1350" w:type="dxa"/>
            <w:shd w:val="clear" w:color="auto" w:fill="FFFFFF" w:themeFill="background1"/>
          </w:tcPr>
          <w:p w14:paraId="2BB45D89" w14:textId="180AE539" w:rsidR="00375603" w:rsidRPr="004D4EAB" w:rsidRDefault="00375603" w:rsidP="007C6DFA">
            <w:pPr>
              <w:jc w:val="center"/>
              <w:rPr>
                <w:sz w:val="20"/>
                <w:szCs w:val="20"/>
              </w:rPr>
            </w:pPr>
            <w:r w:rsidRPr="004D4EAB">
              <w:rPr>
                <w:sz w:val="20"/>
                <w:szCs w:val="20"/>
              </w:rPr>
              <w:t>5-10 minutes</w:t>
            </w:r>
          </w:p>
        </w:tc>
        <w:tc>
          <w:tcPr>
            <w:tcW w:w="3870" w:type="dxa"/>
            <w:shd w:val="clear" w:color="auto" w:fill="FFFFFF" w:themeFill="background1"/>
          </w:tcPr>
          <w:p w14:paraId="41752CEE" w14:textId="0348449A" w:rsidR="00D13D8C" w:rsidRPr="00B50F4D" w:rsidRDefault="00B50F4D" w:rsidP="00A3598E">
            <w:pPr>
              <w:pStyle w:val="NoSpacing"/>
              <w:numPr>
                <w:ilvl w:val="0"/>
                <w:numId w:val="37"/>
              </w:numPr>
              <w:ind w:lef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Brain</w:t>
            </w:r>
            <w:r w:rsidR="00A3598E">
              <w:rPr>
                <w:sz w:val="20"/>
                <w:szCs w:val="20"/>
              </w:rPr>
              <w:t xml:space="preserve"> handout (slide 12)</w:t>
            </w:r>
          </w:p>
        </w:tc>
      </w:tr>
      <w:tr w:rsidR="00252904" w14:paraId="4DBD42AF" w14:textId="77777777" w:rsidTr="00A3598E">
        <w:tc>
          <w:tcPr>
            <w:tcW w:w="850" w:type="dxa"/>
            <w:shd w:val="clear" w:color="auto" w:fill="FFFFFF" w:themeFill="background1"/>
          </w:tcPr>
          <w:p w14:paraId="73FCE22C" w14:textId="58DF140F" w:rsidR="00252904" w:rsidRPr="004D4EAB" w:rsidRDefault="00252904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50F4D">
              <w:rPr>
                <w:sz w:val="20"/>
                <w:szCs w:val="20"/>
              </w:rPr>
              <w:t>-16</w:t>
            </w:r>
          </w:p>
        </w:tc>
        <w:tc>
          <w:tcPr>
            <w:tcW w:w="4887" w:type="dxa"/>
          </w:tcPr>
          <w:p w14:paraId="477DB0C3" w14:textId="2015ADF1" w:rsidR="00252904" w:rsidRPr="004D4EAB" w:rsidRDefault="00252904" w:rsidP="007C6DFA">
            <w:pPr>
              <w:pStyle w:val="NoSpacing"/>
              <w:rPr>
                <w:sz w:val="20"/>
                <w:szCs w:val="20"/>
              </w:rPr>
            </w:pPr>
            <w:r w:rsidRPr="004D4EAB">
              <w:rPr>
                <w:sz w:val="20"/>
                <w:szCs w:val="20"/>
              </w:rPr>
              <w:t>Th</w:t>
            </w:r>
            <w:r w:rsidR="00B50F4D">
              <w:rPr>
                <w:sz w:val="20"/>
                <w:szCs w:val="20"/>
              </w:rPr>
              <w:t>ese slides</w:t>
            </w:r>
            <w:r w:rsidRPr="004D4EAB">
              <w:rPr>
                <w:sz w:val="20"/>
                <w:szCs w:val="20"/>
              </w:rPr>
              <w:t xml:space="preserve"> remind</w:t>
            </w:r>
            <w:r w:rsidR="00B50F4D">
              <w:rPr>
                <w:sz w:val="20"/>
                <w:szCs w:val="20"/>
              </w:rPr>
              <w:t xml:space="preserve"> </w:t>
            </w:r>
            <w:r w:rsidRPr="004D4EAB">
              <w:rPr>
                <w:sz w:val="20"/>
                <w:szCs w:val="20"/>
              </w:rPr>
              <w:t>teachers</w:t>
            </w:r>
            <w:r w:rsidR="003746BB">
              <w:rPr>
                <w:sz w:val="20"/>
                <w:szCs w:val="20"/>
              </w:rPr>
              <w:t xml:space="preserve"> </w:t>
            </w:r>
            <w:r w:rsidR="00B50F4D">
              <w:rPr>
                <w:sz w:val="20"/>
                <w:szCs w:val="20"/>
              </w:rPr>
              <w:t>of t</w:t>
            </w:r>
            <w:r w:rsidR="00B50F4D" w:rsidRPr="00B50F4D">
              <w:rPr>
                <w:sz w:val="20"/>
                <w:szCs w:val="20"/>
              </w:rPr>
              <w:t xml:space="preserve">he current research on </w:t>
            </w:r>
            <w:r w:rsidR="00B50F4D">
              <w:rPr>
                <w:sz w:val="20"/>
                <w:szCs w:val="20"/>
              </w:rPr>
              <w:t>the skills and knowledge critical for comprehension.as well as a definition for comprehension and listening comprehension.</w:t>
            </w:r>
          </w:p>
        </w:tc>
        <w:tc>
          <w:tcPr>
            <w:tcW w:w="1350" w:type="dxa"/>
            <w:shd w:val="clear" w:color="auto" w:fill="FFFFFF" w:themeFill="background1"/>
          </w:tcPr>
          <w:p w14:paraId="3BF30F91" w14:textId="31F7FAFE" w:rsidR="00252904" w:rsidRPr="004D4EAB" w:rsidRDefault="00B50F4D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3870" w:type="dxa"/>
            <w:shd w:val="clear" w:color="auto" w:fill="FFFFFF" w:themeFill="background1"/>
          </w:tcPr>
          <w:p w14:paraId="76A908A3" w14:textId="5375928F" w:rsidR="00252904" w:rsidRPr="004D4EAB" w:rsidRDefault="00B50F4D" w:rsidP="00B50F4D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C6DFA" w:rsidRPr="007C6DFA" w14:paraId="5889182E" w14:textId="02C21858" w:rsidTr="00A3598E">
        <w:tc>
          <w:tcPr>
            <w:tcW w:w="850" w:type="dxa"/>
            <w:shd w:val="clear" w:color="auto" w:fill="FFFFFF" w:themeFill="background1"/>
          </w:tcPr>
          <w:p w14:paraId="668D5328" w14:textId="496793CB" w:rsidR="007C6DFA" w:rsidRPr="004D4EAB" w:rsidRDefault="00E30B4C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4887" w:type="dxa"/>
          </w:tcPr>
          <w:p w14:paraId="0691020E" w14:textId="6BBAA5A4" w:rsidR="007C6DFA" w:rsidRPr="004D4EAB" w:rsidRDefault="00E30B4C" w:rsidP="007C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slide shows the research documents used in the presentation. These can be printed and handed out to participants if desired.</w:t>
            </w:r>
          </w:p>
        </w:tc>
        <w:tc>
          <w:tcPr>
            <w:tcW w:w="1350" w:type="dxa"/>
          </w:tcPr>
          <w:p w14:paraId="040896AD" w14:textId="5B330FFA" w:rsidR="007C6DFA" w:rsidRPr="004D4EAB" w:rsidRDefault="00E30B4C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3870" w:type="dxa"/>
          </w:tcPr>
          <w:p w14:paraId="6B2C9C91" w14:textId="3F8611F0" w:rsidR="007C6DFA" w:rsidRPr="004D4EAB" w:rsidRDefault="00E30B4C" w:rsidP="00E30B4C">
            <w:pPr>
              <w:pStyle w:val="NoSpacing"/>
              <w:numPr>
                <w:ilvl w:val="0"/>
                <w:numId w:val="21"/>
              </w:numPr>
            </w:pPr>
            <w:r>
              <w:t>IES Research Documents</w:t>
            </w:r>
            <w:r w:rsidR="000C5585">
              <w:t xml:space="preserve"> (slide 17)</w:t>
            </w:r>
          </w:p>
        </w:tc>
      </w:tr>
      <w:tr w:rsidR="007C6DFA" w14:paraId="053A9904" w14:textId="297F5426" w:rsidTr="00A3598E">
        <w:tc>
          <w:tcPr>
            <w:tcW w:w="850" w:type="dxa"/>
            <w:shd w:val="clear" w:color="auto" w:fill="EEECE1" w:themeFill="background2"/>
          </w:tcPr>
          <w:p w14:paraId="1E71726E" w14:textId="692A4FB1" w:rsidR="007C6DFA" w:rsidRPr="004D4EAB" w:rsidRDefault="00E30B4C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</w:t>
            </w:r>
          </w:p>
        </w:tc>
        <w:tc>
          <w:tcPr>
            <w:tcW w:w="4887" w:type="dxa"/>
            <w:shd w:val="clear" w:color="auto" w:fill="EEECE1" w:themeFill="background2"/>
          </w:tcPr>
          <w:p w14:paraId="0482FA99" w14:textId="2367F564" w:rsidR="007C6DFA" w:rsidRPr="004D4EAB" w:rsidRDefault="00E30B4C" w:rsidP="007C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slides to the recommendations.</w:t>
            </w:r>
          </w:p>
        </w:tc>
        <w:tc>
          <w:tcPr>
            <w:tcW w:w="1350" w:type="dxa"/>
            <w:shd w:val="clear" w:color="auto" w:fill="EEECE1" w:themeFill="background2"/>
          </w:tcPr>
          <w:p w14:paraId="2FD47934" w14:textId="2D927E35" w:rsidR="007C6DFA" w:rsidRPr="004D4EAB" w:rsidRDefault="007C6DFA" w:rsidP="007C6DFA">
            <w:pPr>
              <w:jc w:val="center"/>
              <w:rPr>
                <w:sz w:val="20"/>
                <w:szCs w:val="20"/>
              </w:rPr>
            </w:pPr>
            <w:r w:rsidRPr="004D4EAB">
              <w:rPr>
                <w:sz w:val="20"/>
                <w:szCs w:val="20"/>
              </w:rPr>
              <w:t>3 minutes</w:t>
            </w:r>
          </w:p>
        </w:tc>
        <w:tc>
          <w:tcPr>
            <w:tcW w:w="3870" w:type="dxa"/>
            <w:shd w:val="clear" w:color="auto" w:fill="EEECE1" w:themeFill="background2"/>
          </w:tcPr>
          <w:p w14:paraId="14CC0EBF" w14:textId="19CD3FD5" w:rsidR="007C6DFA" w:rsidRPr="00E30B4C" w:rsidRDefault="00E30B4C" w:rsidP="00E30B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C5585">
              <w:t>Improving Reading Comprehension Guide</w:t>
            </w:r>
            <w:r w:rsidR="000C5585" w:rsidRPr="000C5585">
              <w:t xml:space="preserve"> (slide 23)</w:t>
            </w:r>
          </w:p>
        </w:tc>
      </w:tr>
    </w:tbl>
    <w:p w14:paraId="444EC550" w14:textId="77777777" w:rsidR="00A3598E" w:rsidRDefault="00A3598E">
      <w:r>
        <w:br w:type="page"/>
      </w:r>
    </w:p>
    <w:tbl>
      <w:tblPr>
        <w:tblStyle w:val="TableGrid"/>
        <w:tblW w:w="10957" w:type="dxa"/>
        <w:tblInd w:w="-72" w:type="dxa"/>
        <w:tblLook w:val="04A0" w:firstRow="1" w:lastRow="0" w:firstColumn="1" w:lastColumn="0" w:noHBand="0" w:noVBand="1"/>
      </w:tblPr>
      <w:tblGrid>
        <w:gridCol w:w="850"/>
        <w:gridCol w:w="4887"/>
        <w:gridCol w:w="1350"/>
        <w:gridCol w:w="3870"/>
      </w:tblGrid>
      <w:tr w:rsidR="00375603" w14:paraId="200FE2C2" w14:textId="735E802A" w:rsidTr="00A3598E">
        <w:tc>
          <w:tcPr>
            <w:tcW w:w="850" w:type="dxa"/>
            <w:shd w:val="clear" w:color="auto" w:fill="FFFFFF" w:themeFill="background1"/>
          </w:tcPr>
          <w:p w14:paraId="340CEFD4" w14:textId="77E7E50C" w:rsidR="00375603" w:rsidRPr="004D4EAB" w:rsidRDefault="00E30B4C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252904">
              <w:rPr>
                <w:sz w:val="20"/>
                <w:szCs w:val="20"/>
              </w:rPr>
              <w:t>-</w:t>
            </w:r>
            <w:r w:rsidR="000C5585">
              <w:rPr>
                <w:sz w:val="20"/>
                <w:szCs w:val="20"/>
              </w:rPr>
              <w:t>99</w:t>
            </w:r>
          </w:p>
        </w:tc>
        <w:tc>
          <w:tcPr>
            <w:tcW w:w="4887" w:type="dxa"/>
          </w:tcPr>
          <w:p w14:paraId="55566175" w14:textId="055BA713" w:rsidR="00375603" w:rsidRPr="004D4EAB" w:rsidRDefault="00252904" w:rsidP="007C6DFA">
            <w:pPr>
              <w:rPr>
                <w:sz w:val="20"/>
                <w:szCs w:val="20"/>
              </w:rPr>
            </w:pPr>
            <w:r w:rsidRPr="004D4EAB">
              <w:rPr>
                <w:sz w:val="20"/>
                <w:szCs w:val="20"/>
              </w:rPr>
              <w:t xml:space="preserve">These slides look at </w:t>
            </w:r>
            <w:r>
              <w:rPr>
                <w:sz w:val="20"/>
                <w:szCs w:val="20"/>
              </w:rPr>
              <w:t xml:space="preserve">each </w:t>
            </w:r>
            <w:r w:rsidR="00E30B4C">
              <w:rPr>
                <w:sz w:val="20"/>
                <w:szCs w:val="20"/>
              </w:rPr>
              <w:t>recommendation and instructional practices that can be used.</w:t>
            </w:r>
          </w:p>
        </w:tc>
        <w:tc>
          <w:tcPr>
            <w:tcW w:w="1350" w:type="dxa"/>
          </w:tcPr>
          <w:p w14:paraId="6DE5B2F9" w14:textId="7BBF5860" w:rsidR="00375603" w:rsidRPr="004D4EAB" w:rsidRDefault="000C5585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120 minutes depending on what activities, videos, handout are used during the training.</w:t>
            </w:r>
          </w:p>
        </w:tc>
        <w:tc>
          <w:tcPr>
            <w:tcW w:w="3870" w:type="dxa"/>
          </w:tcPr>
          <w:p w14:paraId="37B04B91" w14:textId="67735ADD" w:rsidR="00375603" w:rsidRDefault="00E30B4C" w:rsidP="00E30B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30B4C">
              <w:rPr>
                <w:sz w:val="20"/>
                <w:szCs w:val="20"/>
              </w:rPr>
              <w:t>Effective Reading Comprehension Strategies</w:t>
            </w:r>
            <w:r>
              <w:rPr>
                <w:sz w:val="20"/>
                <w:szCs w:val="20"/>
              </w:rPr>
              <w:t xml:space="preserve"> handout</w:t>
            </w:r>
            <w:r w:rsidR="00A3598E">
              <w:rPr>
                <w:sz w:val="20"/>
                <w:szCs w:val="20"/>
              </w:rPr>
              <w:t xml:space="preserve"> (slide 25)</w:t>
            </w:r>
          </w:p>
          <w:p w14:paraId="18D7433B" w14:textId="74B44C1D" w:rsidR="00E30B4C" w:rsidRDefault="00E30B4C" w:rsidP="00E30B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30B4C">
              <w:rPr>
                <w:sz w:val="20"/>
                <w:szCs w:val="20"/>
              </w:rPr>
              <w:t>Gradual Release of Responsibility</w:t>
            </w:r>
            <w:r>
              <w:rPr>
                <w:sz w:val="20"/>
                <w:szCs w:val="20"/>
              </w:rPr>
              <w:t xml:space="preserve"> Handout</w:t>
            </w:r>
            <w:r w:rsidR="00A3598E">
              <w:rPr>
                <w:sz w:val="20"/>
                <w:szCs w:val="20"/>
              </w:rPr>
              <w:t xml:space="preserve"> (slide 32)</w:t>
            </w:r>
          </w:p>
          <w:p w14:paraId="2B9C8283" w14:textId="193B469B" w:rsidR="00A3598E" w:rsidRPr="00A3598E" w:rsidRDefault="00A3598E" w:rsidP="00A3598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Comprehension Recommendations and Possible Solutions Handout (slide </w:t>
            </w: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)</w:t>
            </w:r>
          </w:p>
          <w:p w14:paraId="6CE90F2A" w14:textId="364CB735" w:rsidR="00E30B4C" w:rsidRDefault="00E30B4C" w:rsidP="00A3598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FCRR Narrativ</w:t>
            </w:r>
            <w:r w:rsidRPr="00A3598E">
              <w:rPr>
                <w:sz w:val="20"/>
                <w:szCs w:val="20"/>
              </w:rPr>
              <w:t>e Text Structure Handout</w:t>
            </w:r>
            <w:r w:rsidR="00A3598E">
              <w:rPr>
                <w:sz w:val="20"/>
                <w:szCs w:val="20"/>
              </w:rPr>
              <w:t xml:space="preserve"> (slide 38)</w:t>
            </w:r>
          </w:p>
          <w:p w14:paraId="16F3FE5E" w14:textId="6F5F3A3A" w:rsidR="00A3598E" w:rsidRDefault="00A3598E" w:rsidP="00A3598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FCRR Expository Text Structure Handout (slide 42)</w:t>
            </w:r>
          </w:p>
          <w:p w14:paraId="058898CF" w14:textId="77777777" w:rsidR="00A3598E" w:rsidRDefault="00A3598E" w:rsidP="00A3598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for Greater Comprehension (slide 58)</w:t>
            </w:r>
          </w:p>
          <w:p w14:paraId="299C424B" w14:textId="77777777" w:rsidR="000C5585" w:rsidRDefault="000C5585" w:rsidP="00A3598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C5585">
              <w:rPr>
                <w:sz w:val="20"/>
                <w:szCs w:val="20"/>
              </w:rPr>
              <w:t>Have Students Lead Structured Small-Group Discussions</w:t>
            </w:r>
            <w:r w:rsidRPr="000C5585">
              <w:rPr>
                <w:sz w:val="20"/>
                <w:szCs w:val="20"/>
              </w:rPr>
              <w:t xml:space="preserve"> (slide 62)</w:t>
            </w:r>
          </w:p>
          <w:p w14:paraId="0B67AFBD" w14:textId="6419FE4D" w:rsidR="000C5585" w:rsidRPr="000C5585" w:rsidRDefault="000C5585" w:rsidP="00A3598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handouts from the Increasing Reading Stamina and Strategies Kit (slide 84)</w:t>
            </w:r>
          </w:p>
        </w:tc>
      </w:tr>
      <w:tr w:rsidR="000C5585" w14:paraId="72D00CCB" w14:textId="77777777" w:rsidTr="00A3598E">
        <w:tc>
          <w:tcPr>
            <w:tcW w:w="850" w:type="dxa"/>
            <w:shd w:val="clear" w:color="auto" w:fill="FFFFFF" w:themeFill="background1"/>
          </w:tcPr>
          <w:p w14:paraId="1BEF3F8B" w14:textId="20398058" w:rsidR="000C5585" w:rsidRDefault="000C5585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100-103</w:t>
            </w:r>
          </w:p>
          <w:p w14:paraId="6EF45437" w14:textId="3287B9CA" w:rsidR="000C5585" w:rsidRDefault="000C5585" w:rsidP="007C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7" w:type="dxa"/>
          </w:tcPr>
          <w:p w14:paraId="2E4FAC28" w14:textId="1CA20803" w:rsidR="000C5585" w:rsidRPr="004D4EAB" w:rsidRDefault="000C5585" w:rsidP="007C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slides briefly look at how time, materials and instruction matters</w:t>
            </w:r>
            <w:r w:rsidR="00AE6A88">
              <w:rPr>
                <w:sz w:val="20"/>
                <w:szCs w:val="20"/>
              </w:rPr>
              <w:t xml:space="preserve"> in he classroom.</w:t>
            </w:r>
          </w:p>
        </w:tc>
        <w:tc>
          <w:tcPr>
            <w:tcW w:w="1350" w:type="dxa"/>
          </w:tcPr>
          <w:p w14:paraId="418C3CD8" w14:textId="5E47033A" w:rsidR="000C5585" w:rsidRDefault="00AE6A88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 minutes</w:t>
            </w:r>
          </w:p>
        </w:tc>
        <w:tc>
          <w:tcPr>
            <w:tcW w:w="3870" w:type="dxa"/>
          </w:tcPr>
          <w:p w14:paraId="3C06FACB" w14:textId="1BAE1DA5" w:rsidR="000C5585" w:rsidRPr="00E30B4C" w:rsidRDefault="000C5585" w:rsidP="00E30B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Essentials in Curricular Materials handout (slide101)</w:t>
            </w:r>
          </w:p>
        </w:tc>
      </w:tr>
      <w:tr w:rsidR="000C5585" w14:paraId="69E9D53B" w14:textId="77777777" w:rsidTr="00A3598E">
        <w:tc>
          <w:tcPr>
            <w:tcW w:w="850" w:type="dxa"/>
            <w:shd w:val="clear" w:color="auto" w:fill="FFFFFF" w:themeFill="background1"/>
          </w:tcPr>
          <w:p w14:paraId="3BD4DDCD" w14:textId="5B5EE776" w:rsidR="000C5585" w:rsidRDefault="000C5585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104-105</w:t>
            </w:r>
          </w:p>
        </w:tc>
        <w:tc>
          <w:tcPr>
            <w:tcW w:w="4887" w:type="dxa"/>
          </w:tcPr>
          <w:p w14:paraId="704DD5C4" w14:textId="683AC5BA" w:rsidR="000C5585" w:rsidRDefault="000C5585" w:rsidP="007C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is the focus of these slides.</w:t>
            </w:r>
          </w:p>
        </w:tc>
        <w:tc>
          <w:tcPr>
            <w:tcW w:w="1350" w:type="dxa"/>
          </w:tcPr>
          <w:p w14:paraId="750EA74D" w14:textId="09C7A91D" w:rsidR="000C5585" w:rsidRDefault="00AE6A88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minutes</w:t>
            </w:r>
          </w:p>
        </w:tc>
        <w:tc>
          <w:tcPr>
            <w:tcW w:w="3870" w:type="dxa"/>
          </w:tcPr>
          <w:p w14:paraId="4E3532C7" w14:textId="6EECFEFE" w:rsidR="000C5585" w:rsidRDefault="000C5585" w:rsidP="00E30B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Rockets Assessment Overview (slide 105)</w:t>
            </w:r>
          </w:p>
        </w:tc>
      </w:tr>
      <w:tr w:rsidR="00AE6A88" w14:paraId="36000EA4" w14:textId="77777777" w:rsidTr="00A3598E">
        <w:tc>
          <w:tcPr>
            <w:tcW w:w="850" w:type="dxa"/>
            <w:shd w:val="clear" w:color="auto" w:fill="FFFFFF" w:themeFill="background1"/>
          </w:tcPr>
          <w:p w14:paraId="1F12F735" w14:textId="7137BC65" w:rsidR="00AE6A88" w:rsidRDefault="00AE6A88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106-112</w:t>
            </w:r>
          </w:p>
        </w:tc>
        <w:tc>
          <w:tcPr>
            <w:tcW w:w="4887" w:type="dxa"/>
          </w:tcPr>
          <w:p w14:paraId="35A26A38" w14:textId="08C51D25" w:rsidR="00AE6A88" w:rsidRDefault="00AE6A88" w:rsidP="007C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 and Resources (follow slide notes)</w:t>
            </w:r>
          </w:p>
        </w:tc>
        <w:tc>
          <w:tcPr>
            <w:tcW w:w="1350" w:type="dxa"/>
          </w:tcPr>
          <w:p w14:paraId="32D1C880" w14:textId="3DB7AD82" w:rsidR="00AE6A88" w:rsidRDefault="00AE6A88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 minutes</w:t>
            </w:r>
          </w:p>
        </w:tc>
        <w:tc>
          <w:tcPr>
            <w:tcW w:w="3870" w:type="dxa"/>
          </w:tcPr>
          <w:p w14:paraId="3505AE64" w14:textId="755C7052" w:rsidR="00AE6A88" w:rsidRDefault="00AE6A88" w:rsidP="00AE6A8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E6A88" w14:paraId="030E8B01" w14:textId="77777777" w:rsidTr="00A3598E">
        <w:tc>
          <w:tcPr>
            <w:tcW w:w="850" w:type="dxa"/>
            <w:shd w:val="clear" w:color="auto" w:fill="FFFFFF" w:themeFill="background1"/>
          </w:tcPr>
          <w:p w14:paraId="19063375" w14:textId="3D29540C" w:rsidR="00AE6A88" w:rsidRDefault="00AE6A88" w:rsidP="007C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887" w:type="dxa"/>
          </w:tcPr>
          <w:p w14:paraId="1DF0C036" w14:textId="7ED6C2D5" w:rsidR="00AE6A88" w:rsidRDefault="00AE6A88" w:rsidP="007C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  <w:tc>
          <w:tcPr>
            <w:tcW w:w="1350" w:type="dxa"/>
          </w:tcPr>
          <w:p w14:paraId="380A8DA4" w14:textId="77777777" w:rsidR="00AE6A88" w:rsidRDefault="00AE6A88" w:rsidP="007C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7E8A4FF" w14:textId="69153BC2" w:rsidR="00AE6A88" w:rsidRDefault="00AE6A88" w:rsidP="00AE6A8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1336B5C3" w14:textId="77777777" w:rsidR="00D72636" w:rsidRDefault="00D72636" w:rsidP="00D72636"/>
    <w:sectPr w:rsidR="00D72636" w:rsidSect="00B92ADE">
      <w:pgSz w:w="12240" w:h="15840"/>
      <w:pgMar w:top="900" w:right="144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E9A"/>
    <w:multiLevelType w:val="hybridMultilevel"/>
    <w:tmpl w:val="BAA27F0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A53371E"/>
    <w:multiLevelType w:val="hybridMultilevel"/>
    <w:tmpl w:val="B228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98E"/>
    <w:multiLevelType w:val="hybridMultilevel"/>
    <w:tmpl w:val="BE80D4E4"/>
    <w:lvl w:ilvl="0" w:tplc="DA2A2AF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8062B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ADC1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CB4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A8635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EE364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E291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1ACB8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EAF83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7A669E1"/>
    <w:multiLevelType w:val="hybridMultilevel"/>
    <w:tmpl w:val="6518AB84"/>
    <w:lvl w:ilvl="0" w:tplc="8CECE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4F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0E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E4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AF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8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49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A9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48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A2919"/>
    <w:multiLevelType w:val="hybridMultilevel"/>
    <w:tmpl w:val="B66E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D1459"/>
    <w:multiLevelType w:val="hybridMultilevel"/>
    <w:tmpl w:val="AE62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14BB"/>
    <w:multiLevelType w:val="hybridMultilevel"/>
    <w:tmpl w:val="8C60D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18E"/>
    <w:multiLevelType w:val="hybridMultilevel"/>
    <w:tmpl w:val="8F18F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00B58"/>
    <w:multiLevelType w:val="hybridMultilevel"/>
    <w:tmpl w:val="BF48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5263"/>
    <w:multiLevelType w:val="hybridMultilevel"/>
    <w:tmpl w:val="CE7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34CF"/>
    <w:multiLevelType w:val="hybridMultilevel"/>
    <w:tmpl w:val="523E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176B3"/>
    <w:multiLevelType w:val="hybridMultilevel"/>
    <w:tmpl w:val="10DC3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B67D6"/>
    <w:multiLevelType w:val="hybridMultilevel"/>
    <w:tmpl w:val="9A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B749E"/>
    <w:multiLevelType w:val="hybridMultilevel"/>
    <w:tmpl w:val="56FA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616E6"/>
    <w:multiLevelType w:val="hybridMultilevel"/>
    <w:tmpl w:val="5E82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A5D3A"/>
    <w:multiLevelType w:val="hybridMultilevel"/>
    <w:tmpl w:val="727448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F579A7"/>
    <w:multiLevelType w:val="hybridMultilevel"/>
    <w:tmpl w:val="DE248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A0C3F"/>
    <w:multiLevelType w:val="hybridMultilevel"/>
    <w:tmpl w:val="EDFA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759A5"/>
    <w:multiLevelType w:val="hybridMultilevel"/>
    <w:tmpl w:val="B9C41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47BF4"/>
    <w:multiLevelType w:val="hybridMultilevel"/>
    <w:tmpl w:val="16A2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05918"/>
    <w:multiLevelType w:val="hybridMultilevel"/>
    <w:tmpl w:val="5AA2593A"/>
    <w:lvl w:ilvl="0" w:tplc="9272B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48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EB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4D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C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6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E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03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0F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3E0713"/>
    <w:multiLevelType w:val="hybridMultilevel"/>
    <w:tmpl w:val="443C0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686E4D"/>
    <w:multiLevelType w:val="hybridMultilevel"/>
    <w:tmpl w:val="8B10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87730"/>
    <w:multiLevelType w:val="hybridMultilevel"/>
    <w:tmpl w:val="58DC4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C03841"/>
    <w:multiLevelType w:val="hybridMultilevel"/>
    <w:tmpl w:val="E50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74E68"/>
    <w:multiLevelType w:val="hybridMultilevel"/>
    <w:tmpl w:val="498C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F56E0"/>
    <w:multiLevelType w:val="hybridMultilevel"/>
    <w:tmpl w:val="E6420A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3EC266F"/>
    <w:multiLevelType w:val="hybridMultilevel"/>
    <w:tmpl w:val="57BA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DBB"/>
    <w:multiLevelType w:val="hybridMultilevel"/>
    <w:tmpl w:val="C746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304C8"/>
    <w:multiLevelType w:val="hybridMultilevel"/>
    <w:tmpl w:val="4EE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66487"/>
    <w:multiLevelType w:val="hybridMultilevel"/>
    <w:tmpl w:val="C150B91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6DBD4AFC"/>
    <w:multiLevelType w:val="hybridMultilevel"/>
    <w:tmpl w:val="C1D6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4272D"/>
    <w:multiLevelType w:val="hybridMultilevel"/>
    <w:tmpl w:val="31F8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75FC8"/>
    <w:multiLevelType w:val="hybridMultilevel"/>
    <w:tmpl w:val="7D3C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B4E52"/>
    <w:multiLevelType w:val="hybridMultilevel"/>
    <w:tmpl w:val="8578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43309"/>
    <w:multiLevelType w:val="hybridMultilevel"/>
    <w:tmpl w:val="20B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50862"/>
    <w:multiLevelType w:val="hybridMultilevel"/>
    <w:tmpl w:val="AA38B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33"/>
  </w:num>
  <w:num w:numId="5">
    <w:abstractNumId w:val="35"/>
  </w:num>
  <w:num w:numId="6">
    <w:abstractNumId w:val="14"/>
  </w:num>
  <w:num w:numId="7">
    <w:abstractNumId w:val="9"/>
  </w:num>
  <w:num w:numId="8">
    <w:abstractNumId w:val="17"/>
  </w:num>
  <w:num w:numId="9">
    <w:abstractNumId w:val="1"/>
  </w:num>
  <w:num w:numId="10">
    <w:abstractNumId w:val="8"/>
  </w:num>
  <w:num w:numId="11">
    <w:abstractNumId w:val="24"/>
  </w:num>
  <w:num w:numId="12">
    <w:abstractNumId w:val="0"/>
  </w:num>
  <w:num w:numId="13">
    <w:abstractNumId w:val="22"/>
  </w:num>
  <w:num w:numId="14">
    <w:abstractNumId w:val="20"/>
  </w:num>
  <w:num w:numId="15">
    <w:abstractNumId w:val="34"/>
  </w:num>
  <w:num w:numId="16">
    <w:abstractNumId w:val="15"/>
  </w:num>
  <w:num w:numId="17">
    <w:abstractNumId w:val="13"/>
  </w:num>
  <w:num w:numId="18">
    <w:abstractNumId w:val="2"/>
  </w:num>
  <w:num w:numId="19">
    <w:abstractNumId w:val="36"/>
  </w:num>
  <w:num w:numId="20">
    <w:abstractNumId w:val="29"/>
  </w:num>
  <w:num w:numId="21">
    <w:abstractNumId w:val="6"/>
  </w:num>
  <w:num w:numId="22">
    <w:abstractNumId w:val="4"/>
  </w:num>
  <w:num w:numId="23">
    <w:abstractNumId w:val="32"/>
  </w:num>
  <w:num w:numId="24">
    <w:abstractNumId w:val="18"/>
  </w:num>
  <w:num w:numId="25">
    <w:abstractNumId w:val="7"/>
  </w:num>
  <w:num w:numId="26">
    <w:abstractNumId w:val="19"/>
  </w:num>
  <w:num w:numId="27">
    <w:abstractNumId w:val="5"/>
  </w:num>
  <w:num w:numId="28">
    <w:abstractNumId w:val="31"/>
  </w:num>
  <w:num w:numId="29">
    <w:abstractNumId w:val="21"/>
  </w:num>
  <w:num w:numId="30">
    <w:abstractNumId w:val="28"/>
  </w:num>
  <w:num w:numId="31">
    <w:abstractNumId w:val="12"/>
  </w:num>
  <w:num w:numId="32">
    <w:abstractNumId w:val="16"/>
  </w:num>
  <w:num w:numId="33">
    <w:abstractNumId w:val="25"/>
  </w:num>
  <w:num w:numId="34">
    <w:abstractNumId w:val="11"/>
  </w:num>
  <w:num w:numId="35">
    <w:abstractNumId w:val="10"/>
  </w:num>
  <w:num w:numId="36">
    <w:abstractNumId w:val="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LIwNTQxMTG0MDAxNzRQ0lEKTi0uzszPAykwrwUAc3RpEiwAAAA="/>
  </w:docVars>
  <w:rsids>
    <w:rsidRoot w:val="00A8619D"/>
    <w:rsid w:val="00007E92"/>
    <w:rsid w:val="0003581C"/>
    <w:rsid w:val="00067CEF"/>
    <w:rsid w:val="000805C5"/>
    <w:rsid w:val="000A1A41"/>
    <w:rsid w:val="000A4824"/>
    <w:rsid w:val="000C5585"/>
    <w:rsid w:val="000E6826"/>
    <w:rsid w:val="00136DDC"/>
    <w:rsid w:val="00164A7F"/>
    <w:rsid w:val="00186BAD"/>
    <w:rsid w:val="001A2C1A"/>
    <w:rsid w:val="001A569D"/>
    <w:rsid w:val="001C5165"/>
    <w:rsid w:val="001E17B1"/>
    <w:rsid w:val="001F65D8"/>
    <w:rsid w:val="00223DFA"/>
    <w:rsid w:val="00231F69"/>
    <w:rsid w:val="00246AC0"/>
    <w:rsid w:val="00252904"/>
    <w:rsid w:val="002A75A0"/>
    <w:rsid w:val="002C11AF"/>
    <w:rsid w:val="002D7215"/>
    <w:rsid w:val="002E2875"/>
    <w:rsid w:val="00314AED"/>
    <w:rsid w:val="003218C2"/>
    <w:rsid w:val="00333064"/>
    <w:rsid w:val="00374624"/>
    <w:rsid w:val="003746BB"/>
    <w:rsid w:val="00375603"/>
    <w:rsid w:val="00376B57"/>
    <w:rsid w:val="00396DF7"/>
    <w:rsid w:val="003F34B7"/>
    <w:rsid w:val="00436DAB"/>
    <w:rsid w:val="00437FB1"/>
    <w:rsid w:val="00476F7D"/>
    <w:rsid w:val="0048124D"/>
    <w:rsid w:val="004B284F"/>
    <w:rsid w:val="004C6F5F"/>
    <w:rsid w:val="004D4EAB"/>
    <w:rsid w:val="005028DF"/>
    <w:rsid w:val="00513929"/>
    <w:rsid w:val="005227CC"/>
    <w:rsid w:val="00542B48"/>
    <w:rsid w:val="005919DC"/>
    <w:rsid w:val="005920DF"/>
    <w:rsid w:val="005958F7"/>
    <w:rsid w:val="005B1B29"/>
    <w:rsid w:val="005B3448"/>
    <w:rsid w:val="005C1781"/>
    <w:rsid w:val="005E1AE7"/>
    <w:rsid w:val="0062595F"/>
    <w:rsid w:val="00632DC7"/>
    <w:rsid w:val="00661FB5"/>
    <w:rsid w:val="00677A9F"/>
    <w:rsid w:val="00680505"/>
    <w:rsid w:val="006B4DCE"/>
    <w:rsid w:val="006B6214"/>
    <w:rsid w:val="006B65B8"/>
    <w:rsid w:val="006F6C44"/>
    <w:rsid w:val="00721514"/>
    <w:rsid w:val="007627B8"/>
    <w:rsid w:val="00770C97"/>
    <w:rsid w:val="00770FC9"/>
    <w:rsid w:val="00777A6D"/>
    <w:rsid w:val="007B7F91"/>
    <w:rsid w:val="007C2E8B"/>
    <w:rsid w:val="007C6DFA"/>
    <w:rsid w:val="007D16A3"/>
    <w:rsid w:val="008174A3"/>
    <w:rsid w:val="008416F3"/>
    <w:rsid w:val="008458EB"/>
    <w:rsid w:val="00854B27"/>
    <w:rsid w:val="0087766A"/>
    <w:rsid w:val="008870B0"/>
    <w:rsid w:val="00892B19"/>
    <w:rsid w:val="0089587F"/>
    <w:rsid w:val="008A7D2F"/>
    <w:rsid w:val="009340E5"/>
    <w:rsid w:val="00952A77"/>
    <w:rsid w:val="009857B5"/>
    <w:rsid w:val="009A530D"/>
    <w:rsid w:val="009C09B5"/>
    <w:rsid w:val="00A24D1E"/>
    <w:rsid w:val="00A3598E"/>
    <w:rsid w:val="00A37CB4"/>
    <w:rsid w:val="00A60E4E"/>
    <w:rsid w:val="00A67F28"/>
    <w:rsid w:val="00A8619D"/>
    <w:rsid w:val="00AA3E46"/>
    <w:rsid w:val="00AB51BA"/>
    <w:rsid w:val="00AE6A88"/>
    <w:rsid w:val="00B0015D"/>
    <w:rsid w:val="00B1643E"/>
    <w:rsid w:val="00B50F4D"/>
    <w:rsid w:val="00B62CA8"/>
    <w:rsid w:val="00B63FE2"/>
    <w:rsid w:val="00B8699F"/>
    <w:rsid w:val="00B92ADE"/>
    <w:rsid w:val="00BA1941"/>
    <w:rsid w:val="00BD2887"/>
    <w:rsid w:val="00C0240A"/>
    <w:rsid w:val="00C55FE0"/>
    <w:rsid w:val="00C575C3"/>
    <w:rsid w:val="00C77B44"/>
    <w:rsid w:val="00C900C5"/>
    <w:rsid w:val="00D11498"/>
    <w:rsid w:val="00D13D8C"/>
    <w:rsid w:val="00D532D8"/>
    <w:rsid w:val="00D72636"/>
    <w:rsid w:val="00DA4182"/>
    <w:rsid w:val="00DC318B"/>
    <w:rsid w:val="00DD75B9"/>
    <w:rsid w:val="00E30A3D"/>
    <w:rsid w:val="00E30B4C"/>
    <w:rsid w:val="00E54A27"/>
    <w:rsid w:val="00E75B58"/>
    <w:rsid w:val="00E902A5"/>
    <w:rsid w:val="00EA498F"/>
    <w:rsid w:val="00EC2C1F"/>
    <w:rsid w:val="00EC376A"/>
    <w:rsid w:val="00EC494E"/>
    <w:rsid w:val="00EE2355"/>
    <w:rsid w:val="00EE6764"/>
    <w:rsid w:val="00F36F81"/>
    <w:rsid w:val="00F41A49"/>
    <w:rsid w:val="00F44AFA"/>
    <w:rsid w:val="00F6574A"/>
    <w:rsid w:val="00F75786"/>
    <w:rsid w:val="00F81DFF"/>
    <w:rsid w:val="00F9458E"/>
    <w:rsid w:val="00FC3A8F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B717"/>
  <w15:docId w15:val="{57A90368-5E1F-4935-AF48-C5B8BFE0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A8619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861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A861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8619D"/>
    <w:pPr>
      <w:ind w:left="720"/>
      <w:contextualSpacing/>
    </w:pPr>
  </w:style>
  <w:style w:type="table" w:styleId="MediumList2-Accent4">
    <w:name w:val="Medium List 2 Accent 4"/>
    <w:basedOn w:val="TableNormal"/>
    <w:uiPriority w:val="66"/>
    <w:rsid w:val="00A861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14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4A7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2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27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6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9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earningforward.org/standards-for-professional-learnin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2F750-8423-4416-A579-7710E3AE3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C38C3-A222-4FEF-9858-1E455ED3E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83449-74D5-4082-8978-6022173D67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Jill</dc:creator>
  <cp:lastModifiedBy>Rhodus, Kathi</cp:lastModifiedBy>
  <cp:revision>4</cp:revision>
  <dcterms:created xsi:type="dcterms:W3CDTF">2020-06-05T16:09:00Z</dcterms:created>
  <dcterms:modified xsi:type="dcterms:W3CDTF">2020-06-05T17:32:00Z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